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shd w:val="clear" w:color="auto" w:fill="auto"/>
        <w:bidi w:val="0"/>
        <w:spacing w:before="0" w:after="180" w:line="240" w:lineRule="auto"/>
        <w:ind w:left="140" w:right="0" w:firstLine="760"/>
        <w:jc w:val="both"/>
      </w:pPr>
      <w:r>
        <w:rPr>
          <w:i w:val="0"/>
          <w:iCs w:val="0"/>
          <w:color w:val="000000"/>
          <w:spacing w:val="0"/>
          <w:w w:val="100"/>
          <w:position w:val="0"/>
          <w:sz w:val="26"/>
          <w:szCs w:val="26"/>
        </w:rPr>
        <w:t xml:space="preserve">TỔNG CỤC THUẾ </w:t>
      </w:r>
      <w:r>
        <w:rPr>
          <w:b/>
          <w:bCs/>
          <w:i w:val="0"/>
          <w:iCs w:val="0"/>
          <w:color w:val="000000"/>
          <w:spacing w:val="0"/>
          <w:w w:val="100"/>
          <w:position w:val="0"/>
          <w:sz w:val="26"/>
          <w:szCs w:val="26"/>
        </w:rPr>
        <w:t>CỘNG HÒA XÃ HỘI CHỦ NGHĨA VIỆT NAM CỤC TH</w:t>
      </w:r>
      <w:r>
        <w:rPr>
          <w:b/>
          <w:bCs/>
          <w:i w:val="0"/>
          <w:iCs w:val="0"/>
          <w:color w:val="000000"/>
          <w:spacing w:val="0"/>
          <w:w w:val="100"/>
          <w:position w:val="0"/>
          <w:sz w:val="26"/>
          <w:szCs w:val="26"/>
          <w:u w:val="single"/>
        </w:rPr>
        <w:t>UẾ TỈNH HÒ</w:t>
      </w:r>
      <w:r>
        <w:rPr>
          <w:b/>
          <w:bCs/>
          <w:i w:val="0"/>
          <w:iCs w:val="0"/>
          <w:color w:val="000000"/>
          <w:spacing w:val="0"/>
          <w:w w:val="100"/>
          <w:position w:val="0"/>
          <w:sz w:val="26"/>
          <w:szCs w:val="26"/>
        </w:rPr>
        <w:t xml:space="preserve">A BÌNH ’ </w:t>
      </w:r>
      <w:r>
        <w:rPr>
          <w:b/>
          <w:bCs/>
          <w:i w:val="0"/>
          <w:iCs w:val="0"/>
          <w:color w:val="000000"/>
          <w:spacing w:val="0"/>
          <w:w w:val="100"/>
          <w:position w:val="0"/>
          <w:u w:val="single"/>
        </w:rPr>
        <w:t>Độc lập - Tự do - Hạnh phúc</w:t>
      </w:r>
    </w:p>
    <w:p>
      <w:pPr>
        <w:pStyle w:val="Style7"/>
        <w:keepNext w:val="0"/>
        <w:keepLines w:val="0"/>
        <w:widowControl w:val="0"/>
        <w:shd w:val="clear" w:color="auto" w:fill="auto"/>
        <w:tabs>
          <w:tab w:pos="4655" w:val="left"/>
        </w:tabs>
        <w:bidi w:val="0"/>
        <w:spacing w:before="0" w:after="0" w:line="259" w:lineRule="auto"/>
        <w:ind w:left="0" w:right="0" w:firstLine="580"/>
        <w:jc w:val="both"/>
        <w:rPr>
          <w:sz w:val="26"/>
          <w:szCs w:val="26"/>
        </w:rPr>
      </w:pPr>
      <w:r>
        <w:rPr>
          <w:i w:val="0"/>
          <w:iCs w:val="0"/>
          <w:color w:val="000000"/>
          <w:spacing w:val="0"/>
          <w:w w:val="100"/>
          <w:position w:val="0"/>
          <w:sz w:val="26"/>
          <w:szCs w:val="26"/>
        </w:rPr>
        <w:t>Số: 45 /CTHBI-TTHT</w:t>
        <w:tab/>
      </w:r>
      <w:r>
        <w:rPr>
          <w:color w:val="000000"/>
          <w:spacing w:val="0"/>
          <w:w w:val="100"/>
          <w:position w:val="0"/>
          <w:sz w:val="28"/>
          <w:szCs w:val="28"/>
        </w:rPr>
        <w:t xml:space="preserve">Hòa Bình, ngày </w:t>
      </w:r>
      <w:r>
        <w:rPr>
          <w:color w:val="000000"/>
          <w:spacing w:val="0"/>
          <w:w w:val="100"/>
          <w:position w:val="0"/>
          <w:sz w:val="26"/>
          <w:szCs w:val="26"/>
        </w:rPr>
        <w:t xml:space="preserve">06 </w:t>
      </w:r>
      <w:r>
        <w:rPr>
          <w:color w:val="000000"/>
          <w:spacing w:val="0"/>
          <w:w w:val="100"/>
          <w:position w:val="0"/>
          <w:sz w:val="28"/>
          <w:szCs w:val="28"/>
        </w:rPr>
        <w:t xml:space="preserve">tháng </w:t>
      </w:r>
      <w:r>
        <w:rPr>
          <w:color w:val="000000"/>
          <w:spacing w:val="0"/>
          <w:w w:val="100"/>
          <w:position w:val="0"/>
          <w:sz w:val="26"/>
          <w:szCs w:val="26"/>
        </w:rPr>
        <w:t xml:space="preserve">01 </w:t>
      </w:r>
      <w:r>
        <w:rPr>
          <w:color w:val="000000"/>
          <w:spacing w:val="0"/>
          <w:w w:val="100"/>
          <w:position w:val="0"/>
          <w:sz w:val="28"/>
          <w:szCs w:val="28"/>
        </w:rPr>
        <w:t xml:space="preserve">năm </w:t>
      </w:r>
      <w:r>
        <w:rPr>
          <w:color w:val="000000"/>
          <w:spacing w:val="0"/>
          <w:w w:val="100"/>
          <w:position w:val="0"/>
          <w:sz w:val="26"/>
          <w:szCs w:val="26"/>
        </w:rPr>
        <w:t>2025</w:t>
      </w:r>
    </w:p>
    <w:p>
      <w:pPr>
        <w:pStyle w:val="Style7"/>
        <w:keepNext w:val="0"/>
        <w:keepLines w:val="0"/>
        <w:widowControl w:val="0"/>
        <w:shd w:val="clear" w:color="auto" w:fill="auto"/>
        <w:bidi w:val="0"/>
        <w:spacing w:before="0" w:after="0" w:line="240" w:lineRule="auto"/>
        <w:ind w:left="1140" w:right="0" w:firstLine="0"/>
        <w:jc w:val="both"/>
        <w:rPr>
          <w:sz w:val="24"/>
          <w:szCs w:val="24"/>
        </w:rPr>
      </w:pPr>
      <w:r>
        <w:rPr>
          <w:i w:val="0"/>
          <w:iCs w:val="0"/>
          <w:color w:val="000000"/>
          <w:spacing w:val="0"/>
          <w:w w:val="100"/>
          <w:position w:val="0"/>
          <w:sz w:val="24"/>
          <w:szCs w:val="24"/>
        </w:rPr>
        <w:t>V/v ưu đãi thuế</w:t>
      </w:r>
    </w:p>
    <w:p>
      <w:pPr>
        <w:pStyle w:val="Style7"/>
        <w:keepNext w:val="0"/>
        <w:keepLines w:val="0"/>
        <w:widowControl w:val="0"/>
        <w:shd w:val="clear" w:color="auto" w:fill="auto"/>
        <w:bidi w:val="0"/>
        <w:spacing w:before="0" w:after="280" w:line="240" w:lineRule="auto"/>
        <w:ind w:left="0" w:right="0" w:firstLine="780"/>
        <w:jc w:val="both"/>
        <w:rPr>
          <w:sz w:val="24"/>
          <w:szCs w:val="24"/>
        </w:rPr>
      </w:pPr>
      <w:r>
        <w:rPr>
          <w:i w:val="0"/>
          <w:iCs w:val="0"/>
          <w:color w:val="000000"/>
          <w:spacing w:val="0"/>
          <w:w w:val="100"/>
          <w:position w:val="0"/>
          <w:sz w:val="24"/>
          <w:szCs w:val="24"/>
        </w:rPr>
        <w:t>thu nhập doanh nghiệp</w:t>
      </w:r>
    </w:p>
    <w:p>
      <w:pPr>
        <w:pStyle w:val="Style7"/>
        <w:keepNext w:val="0"/>
        <w:keepLines w:val="0"/>
        <w:widowControl w:val="0"/>
        <w:shd w:val="clear" w:color="auto" w:fill="auto"/>
        <w:bidi w:val="0"/>
        <w:spacing w:before="0" w:after="0" w:line="240" w:lineRule="auto"/>
        <w:ind w:left="0" w:right="0" w:firstLine="0"/>
        <w:jc w:val="center"/>
      </w:pPr>
      <w:r>
        <w:rPr>
          <w:i w:val="0"/>
          <w:iCs w:val="0"/>
          <w:color w:val="000000"/>
          <w:spacing w:val="0"/>
          <w:w w:val="100"/>
          <w:position w:val="0"/>
        </w:rPr>
        <w:t>Kính gửi: Công ty TNHH Dệt kim Supertex - Tân Lạc</w:t>
        <w:br/>
        <w:t>Mã số thuế: 5400520355;</w:t>
      </w:r>
    </w:p>
    <w:p>
      <w:pPr>
        <w:pStyle w:val="Style7"/>
        <w:keepNext w:val="0"/>
        <w:keepLines w:val="0"/>
        <w:widowControl w:val="0"/>
        <w:shd w:val="clear" w:color="auto" w:fill="auto"/>
        <w:bidi w:val="0"/>
        <w:spacing w:before="0" w:after="320" w:line="240" w:lineRule="auto"/>
        <w:ind w:left="0" w:right="0" w:firstLine="580"/>
        <w:jc w:val="both"/>
      </w:pPr>
      <w:r>
        <w:rPr>
          <w:i w:val="0"/>
          <w:iCs w:val="0"/>
          <w:color w:val="000000"/>
          <w:spacing w:val="0"/>
          <w:w w:val="100"/>
          <w:position w:val="0"/>
        </w:rPr>
        <w:t>Địa chỉ: Xóm Tân Tiến - xã Thanh Hối - huyện Tân Lạc - tỉnh Hòa Bình.</w:t>
      </w:r>
    </w:p>
    <w:p>
      <w:pPr>
        <w:pStyle w:val="Style7"/>
        <w:keepNext w:val="0"/>
        <w:keepLines w:val="0"/>
        <w:widowControl w:val="0"/>
        <w:shd w:val="clear" w:color="auto" w:fill="auto"/>
        <w:bidi w:val="0"/>
        <w:spacing w:before="0" w:line="240" w:lineRule="auto"/>
        <w:ind w:left="0" w:right="0" w:firstLine="580"/>
        <w:jc w:val="both"/>
      </w:pPr>
      <w:r>
        <w:rPr>
          <w:i w:val="0"/>
          <w:iCs w:val="0"/>
          <w:color w:val="000000"/>
          <w:spacing w:val="0"/>
          <w:w w:val="100"/>
          <w:position w:val="0"/>
        </w:rPr>
        <w:t xml:space="preserve">Cục Thuế tỉnh Hòa Bình nhận được Công văn số 79/CV-SPT-TL ngày 20/12/2024 của Công ty </w:t>
      </w:r>
      <w:r>
        <w:rPr>
          <w:i w:val="0"/>
          <w:iCs w:val="0"/>
          <w:color w:val="000000"/>
          <w:spacing w:val="0"/>
          <w:w w:val="100"/>
          <w:position w:val="0"/>
        </w:rPr>
        <w:t xml:space="preserve">TNHH </w:t>
      </w:r>
      <w:r>
        <w:rPr>
          <w:i w:val="0"/>
          <w:iCs w:val="0"/>
          <w:color w:val="000000"/>
          <w:spacing w:val="0"/>
          <w:w w:val="100"/>
          <w:position w:val="0"/>
        </w:rPr>
        <w:t>Dệt kim Supertex - Tân Lạc (viết tắt là Công ty) hỏi về chính sách ưu đãi thuế thu nhập doanh nghiệp (TNDN). Vấn đề này, Cục Thuế có ý kiến như sau:</w:t>
      </w:r>
    </w:p>
    <w:p>
      <w:pPr>
        <w:pStyle w:val="Style7"/>
        <w:keepNext w:val="0"/>
        <w:keepLines w:val="0"/>
        <w:widowControl w:val="0"/>
        <w:shd w:val="clear" w:color="auto" w:fill="auto"/>
        <w:bidi w:val="0"/>
        <w:spacing w:before="0" w:line="240" w:lineRule="auto"/>
        <w:ind w:left="0" w:right="0" w:firstLine="580"/>
        <w:jc w:val="both"/>
      </w:pPr>
      <w:r>
        <w:rPr>
          <w:i w:val="0"/>
          <w:iCs w:val="0"/>
          <w:color w:val="000000"/>
          <w:spacing w:val="0"/>
          <w:w w:val="100"/>
          <w:position w:val="0"/>
        </w:rPr>
        <w:t>Theo khoản 4, khoản 6 Điều 19 Thông tư số 78/2014/TT-BTC ngày 18/6/2014 của Bộ Tài chính hướng dẫn thi hành Nghị định số 218/2013/NĐ-CP ngày 26/12/2013 của Chính phủ quy định và hướng dẫn thi hành Luật Thuế thu nhập doanh nghiệp quy định:</w:t>
      </w:r>
    </w:p>
    <w:p>
      <w:pPr>
        <w:pStyle w:val="Style7"/>
        <w:keepNext w:val="0"/>
        <w:keepLines w:val="0"/>
        <w:widowControl w:val="0"/>
        <w:shd w:val="clear" w:color="auto" w:fill="auto"/>
        <w:bidi w:val="0"/>
        <w:spacing w:before="0" w:line="240" w:lineRule="auto"/>
        <w:ind w:left="0" w:right="0" w:firstLine="580"/>
        <w:jc w:val="both"/>
      </w:pPr>
      <w:r>
        <w:rPr>
          <w:color w:val="000000"/>
          <w:spacing w:val="0"/>
          <w:w w:val="100"/>
          <w:position w:val="0"/>
        </w:rPr>
        <w:t>“4. Thuế suất ưu đãi 20% trong thời gian mười năm (10 năm) áp dụng đối với:</w:t>
      </w:r>
    </w:p>
    <w:p>
      <w:pPr>
        <w:pStyle w:val="Style7"/>
        <w:keepNext w:val="0"/>
        <w:keepLines w:val="0"/>
        <w:widowControl w:val="0"/>
        <w:numPr>
          <w:ilvl w:val="0"/>
          <w:numId w:val="1"/>
        </w:numPr>
        <w:shd w:val="clear" w:color="auto" w:fill="auto"/>
        <w:tabs>
          <w:tab w:pos="968" w:val="left"/>
        </w:tabs>
        <w:bidi w:val="0"/>
        <w:spacing w:before="0" w:after="520" w:line="240" w:lineRule="auto"/>
        <w:ind w:left="0" w:right="0" w:firstLine="580"/>
        <w:jc w:val="both"/>
      </w:pPr>
      <w:bookmarkStart w:id="0" w:name="bookmark0"/>
      <w:bookmarkEnd w:id="0"/>
      <w:r>
        <w:rPr>
          <w:color w:val="000000"/>
          <w:spacing w:val="0"/>
          <w:w w:val="100"/>
          <w:position w:val="0"/>
        </w:rPr>
        <w:t>Thu nhập của doanh nghiệp từ thực hiện dự án đầu tư mới tại địa bàn có điều kiện kinh tế - xã hội khó khăn quy định tại Phụ lục ban hành kèm theo Nghị định số 218/2013/NĐ-CP của Chính phủ.</w:t>
      </w:r>
    </w:p>
    <w:p>
      <w:pPr>
        <w:pStyle w:val="Style7"/>
        <w:keepNext w:val="0"/>
        <w:keepLines w:val="0"/>
        <w:widowControl w:val="0"/>
        <w:shd w:val="clear" w:color="auto" w:fill="auto"/>
        <w:bidi w:val="0"/>
        <w:spacing w:before="0" w:after="520" w:line="240" w:lineRule="auto"/>
        <w:ind w:left="0" w:right="0" w:firstLine="580"/>
        <w:jc w:val="both"/>
      </w:pPr>
      <w:r>
        <w:rPr>
          <w:color w:val="000000"/>
          <w:spacing w:val="0"/>
          <w:w w:val="100"/>
          <w:position w:val="0"/>
        </w:rPr>
        <w:t>Doanh nghiệp thực hiện dự án đầu tư mới vào các lĩnh vực, địa bàn ưu đãi thuế quy định tại khoản này kể từ ngày 01 tháng 01 năm 2016 áp dụng thuế suất 17%.</w:t>
      </w:r>
    </w:p>
    <w:p>
      <w:pPr>
        <w:pStyle w:val="Style7"/>
        <w:keepNext w:val="0"/>
        <w:keepLines w:val="0"/>
        <w:widowControl w:val="0"/>
        <w:shd w:val="clear" w:color="auto" w:fill="auto"/>
        <w:bidi w:val="0"/>
        <w:spacing w:before="0" w:line="240" w:lineRule="auto"/>
        <w:ind w:left="0" w:right="0" w:firstLine="580"/>
        <w:jc w:val="both"/>
      </w:pPr>
      <w:r>
        <w:rPr>
          <w:color w:val="000000"/>
          <w:spacing w:val="0"/>
          <w:w w:val="100"/>
          <w:position w:val="0"/>
        </w:rPr>
        <w:t>6. Thời gian áp dụng thuế suất ưu đãi quy định tại Điều này được tính liên tục từ năm đầu tiên doanh nghiệp có doanh thu từ dự án đầu tư mới được hưởng ưu đãi thuế...”</w:t>
      </w:r>
    </w:p>
    <w:p>
      <w:pPr>
        <w:pStyle w:val="Style7"/>
        <w:keepNext w:val="0"/>
        <w:keepLines w:val="0"/>
        <w:widowControl w:val="0"/>
        <w:shd w:val="clear" w:color="auto" w:fill="auto"/>
        <w:bidi w:val="0"/>
        <w:spacing w:before="0" w:line="240" w:lineRule="auto"/>
        <w:ind w:left="0" w:right="0" w:firstLine="580"/>
        <w:jc w:val="both"/>
      </w:pPr>
      <w:r>
        <w:rPr>
          <w:i w:val="0"/>
          <w:iCs w:val="0"/>
          <w:color w:val="000000"/>
          <w:spacing w:val="0"/>
          <w:w w:val="100"/>
          <w:position w:val="0"/>
        </w:rPr>
        <w:t xml:space="preserve">Theo Điều 6 Thông tư số </w:t>
      </w:r>
      <w:r>
        <w:rPr>
          <w:i w:val="0"/>
          <w:iCs w:val="0"/>
          <w:color w:val="000000"/>
          <w:spacing w:val="0"/>
          <w:w w:val="100"/>
          <w:position w:val="0"/>
        </w:rPr>
        <w:t xml:space="preserve">151/2014/TT-BTC </w:t>
      </w:r>
      <w:r>
        <w:rPr>
          <w:i w:val="0"/>
          <w:iCs w:val="0"/>
          <w:color w:val="000000"/>
          <w:spacing w:val="0"/>
          <w:w w:val="100"/>
          <w:position w:val="0"/>
        </w:rPr>
        <w:t>ngày 10/10/2014 của Bộ Tài chính hướng dẫn thi hành Nghị định số 91/2014/NĐ-CP ngày 01 tháng 10 năm 2014 của Chính phủ về việc sửa đổi, bổ sung một số điều tại các Nghị định quy định về thuế quy định:</w:t>
      </w:r>
    </w:p>
    <w:p>
      <w:pPr>
        <w:pStyle w:val="Style7"/>
        <w:keepNext w:val="0"/>
        <w:keepLines w:val="0"/>
        <w:widowControl w:val="0"/>
        <w:shd w:val="clear" w:color="auto" w:fill="auto"/>
        <w:bidi w:val="0"/>
        <w:spacing w:before="0" w:line="240" w:lineRule="auto"/>
        <w:ind w:left="0" w:right="0" w:firstLine="580"/>
        <w:jc w:val="both"/>
      </w:pPr>
      <w:r>
        <w:rPr>
          <w:color w:val="000000"/>
          <w:spacing w:val="0"/>
          <w:w w:val="100"/>
          <w:position w:val="0"/>
        </w:rPr>
        <w:t>“</w:t>
      </w:r>
      <w:r>
        <w:rPr>
          <w:b/>
          <w:bCs/>
          <w:color w:val="000000"/>
          <w:spacing w:val="0"/>
          <w:w w:val="100"/>
          <w:position w:val="0"/>
        </w:rPr>
        <w:t>Điều 6</w:t>
      </w:r>
      <w:r>
        <w:rPr>
          <w:color w:val="000000"/>
          <w:spacing w:val="0"/>
          <w:w w:val="100"/>
          <w:position w:val="0"/>
        </w:rPr>
        <w:t xml:space="preserve">. </w:t>
      </w:r>
      <w:r>
        <w:rPr>
          <w:b/>
          <w:bCs/>
          <w:color w:val="000000"/>
          <w:spacing w:val="0"/>
          <w:w w:val="100"/>
          <w:position w:val="0"/>
        </w:rPr>
        <w:t>Sửa đồi, bổ sung Khoản 3, Điều 20, Thông tư số 78/2014/TT-BTC như sau:</w:t>
      </w:r>
    </w:p>
    <w:p>
      <w:pPr>
        <w:pStyle w:val="Style7"/>
        <w:keepNext w:val="0"/>
        <w:keepLines w:val="0"/>
        <w:widowControl w:val="0"/>
        <w:shd w:val="clear" w:color="auto" w:fill="auto"/>
        <w:bidi w:val="0"/>
        <w:spacing w:before="0" w:after="520" w:line="240" w:lineRule="auto"/>
        <w:ind w:left="0" w:right="0" w:firstLine="580"/>
        <w:jc w:val="both"/>
      </w:pPr>
      <w:r>
        <w:rPr>
          <w:color w:val="000000"/>
          <w:spacing w:val="0"/>
          <w:w w:val="100"/>
          <w:position w:val="0"/>
        </w:rPr>
        <w:t>“</w:t>
      </w:r>
      <w:r>
        <w:rPr>
          <w:b/>
          <w:bCs/>
          <w:color w:val="000000"/>
          <w:spacing w:val="0"/>
          <w:w w:val="100"/>
          <w:position w:val="0"/>
        </w:rPr>
        <w:t>3</w:t>
      </w:r>
      <w:r>
        <w:rPr>
          <w:color w:val="000000"/>
          <w:spacing w:val="0"/>
          <w:w w:val="100"/>
          <w:position w:val="0"/>
        </w:rPr>
        <w:t xml:space="preserve">. Miễn thuế 2 năm và giảm 50% số thuế phải nộp trong 4 năm tiếp theo đối với thu nhập từ thực hiện dự án đầu tư mới quy định tại Khoản 4 Điều 19 Thông tư số 78/2014/TT-BTC ngày 18/6/2014 của Bộ Tài chính và thu nhập của doanh nghiệp từ thực hiện dự án đầu tư mới tại Khu công nghiệp (trừ Khu công </w:t>
      </w:r>
      <w:r>
        <w:rPr>
          <w:color w:val="000000"/>
          <w:spacing w:val="0"/>
          <w:w w:val="100"/>
          <w:position w:val="0"/>
        </w:rPr>
        <w:t>nghiệp nằm trên địa bàn có điều kiện - kinh tế xã hội thuận lợi).</w:t>
      </w:r>
    </w:p>
    <w:p>
      <w:pPr>
        <w:pStyle w:val="Style7"/>
        <w:keepNext w:val="0"/>
        <w:keepLines w:val="0"/>
        <w:widowControl w:val="0"/>
        <w:shd w:val="clear" w:color="auto" w:fill="auto"/>
        <w:bidi w:val="0"/>
        <w:spacing w:before="0" w:line="240" w:lineRule="auto"/>
        <w:ind w:left="0" w:right="0" w:firstLine="620"/>
        <w:jc w:val="both"/>
      </w:pPr>
      <w:r>
        <w:rPr>
          <w:i w:val="0"/>
          <w:iCs w:val="0"/>
          <w:color w:val="000000"/>
          <w:spacing w:val="0"/>
          <w:w w:val="100"/>
          <w:position w:val="0"/>
        </w:rPr>
        <w:t>Theo Thông tư số 96/2015/TT-BTC ngày 22/6/2015 của Bộ Tài chính hướng dẫn về thuế thu nhập doanh nghiệp tại Nghị định số 12/2015/NĐ-CP ngày 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78/2014/TT-BTC ngày 18/6/2014, Thông tư số 119/2014/TT-BTC ngày 25/8/2014, Thông tư số 151/2014/TT-BTC ngày 10/10/2014 của Bộ Tài chính quy định:</w:t>
      </w:r>
    </w:p>
    <w:p>
      <w:pPr>
        <w:pStyle w:val="Style7"/>
        <w:keepNext w:val="0"/>
        <w:keepLines w:val="0"/>
        <w:widowControl w:val="0"/>
        <w:shd w:val="clear" w:color="auto" w:fill="auto"/>
        <w:bidi w:val="0"/>
        <w:spacing w:before="0" w:line="240" w:lineRule="auto"/>
        <w:ind w:left="0" w:right="0" w:firstLine="620"/>
        <w:jc w:val="both"/>
      </w:pPr>
      <w:r>
        <w:rPr>
          <w:i w:val="0"/>
          <w:iCs w:val="0"/>
          <w:color w:val="000000"/>
          <w:spacing w:val="0"/>
          <w:w w:val="100"/>
          <w:position w:val="0"/>
        </w:rPr>
        <w:t>Tại khoản 1, khoản 3 Điều 10 quy định:</w:t>
      </w:r>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rPr>
        <w:t>“</w:t>
      </w:r>
      <w:r>
        <w:rPr>
          <w:b/>
          <w:bCs/>
          <w:color w:val="000000"/>
          <w:spacing w:val="0"/>
          <w:w w:val="100"/>
          <w:position w:val="0"/>
        </w:rPr>
        <w:t>Điều 10. Sửa đổi, bổ sung một sổ nội dung tại Điều 18 Thông tư số 78/2014/TT-BTC (đã được sửa đổi, bổ sung tại Điều 5 Thông tư số 151/2014/TT- BTC) như sau:</w:t>
      </w:r>
    </w:p>
    <w:p>
      <w:pPr>
        <w:pStyle w:val="Style21"/>
        <w:keepNext/>
        <w:keepLines/>
        <w:widowControl w:val="0"/>
        <w:numPr>
          <w:ilvl w:val="0"/>
          <w:numId w:val="3"/>
        </w:numPr>
        <w:shd w:val="clear" w:color="auto" w:fill="auto"/>
        <w:tabs>
          <w:tab w:pos="983" w:val="left"/>
        </w:tabs>
        <w:bidi w:val="0"/>
        <w:spacing w:before="0" w:line="240" w:lineRule="auto"/>
        <w:ind w:left="0" w:right="0"/>
        <w:jc w:val="both"/>
      </w:pPr>
      <w:bookmarkStart w:id="1" w:name="bookmark1"/>
      <w:bookmarkStart w:id="2" w:name="bookmark2"/>
      <w:bookmarkStart w:id="3" w:name="bookmark3"/>
      <w:bookmarkStart w:id="4" w:name="bookmark4"/>
      <w:bookmarkEnd w:id="3"/>
      <w:r>
        <w:rPr>
          <w:color w:val="000000"/>
          <w:spacing w:val="0"/>
          <w:w w:val="100"/>
          <w:position w:val="0"/>
        </w:rPr>
        <w:t>Sửa đổi, bổ sung Khoản 3 Điều 18 Thông tư số 78/2014/TT-BTC như sau:</w:t>
      </w:r>
      <w:bookmarkEnd w:id="1"/>
      <w:bookmarkEnd w:id="2"/>
      <w:bookmarkEnd w:id="4"/>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rPr>
        <w:t>“3. Không áp dụng ưu đãi thuế thu nhập doanh nghiệp và không áp dụng thuế suất 20% (bao gồm cả doanh nghiệp thuộc diện áp dụng thuế suất 20% theo quy định tại Khoản 2 Điều 11 Thông tư số 78/2014/TT-BTC) đối với các khoản thu nhập sau:</w:t>
      </w:r>
    </w:p>
    <w:p>
      <w:pPr>
        <w:pStyle w:val="Style7"/>
        <w:keepNext w:val="0"/>
        <w:keepLines w:val="0"/>
        <w:widowControl w:val="0"/>
        <w:numPr>
          <w:ilvl w:val="0"/>
          <w:numId w:val="5"/>
        </w:numPr>
        <w:shd w:val="clear" w:color="auto" w:fill="auto"/>
        <w:tabs>
          <w:tab w:pos="973" w:val="left"/>
        </w:tabs>
        <w:bidi w:val="0"/>
        <w:spacing w:before="0" w:line="240" w:lineRule="auto"/>
        <w:ind w:left="0" w:right="0" w:firstLine="620"/>
        <w:jc w:val="both"/>
      </w:pPr>
      <w:bookmarkStart w:id="5" w:name="bookmark5"/>
      <w:bookmarkEnd w:id="5"/>
      <w:r>
        <w:rPr>
          <w:color w:val="000000"/>
          <w:spacing w:val="0"/>
          <w:w w:val="100"/>
          <w:position w:val="0"/>
        </w:rPr>
        <w:t>Thu nhập từ chuyển nhượng vốn, chuyển nhượng quyền góp vốn; thu nhập từ chuyển nhượng bất động sản (trừ thu nhập từ đầu tư kinh doanh nhà ở xã hội quy định tại điểm d Khoản 3 Điều 19 Thông tư số 78/2014/TT-BTC); thu nhập từ chuyển nhượng dự án đầu tư, chuyển nhượng quyền tham gia dự án đầu tư, chuyển nhượng quyền thăm dò, khai thác khoáng sản; thu nhập nhận được từ hoạt động sản xuất, kinh doanh ở ngoài Việt Nam.</w:t>
      </w:r>
    </w:p>
    <w:p>
      <w:pPr>
        <w:pStyle w:val="Style7"/>
        <w:keepNext w:val="0"/>
        <w:keepLines w:val="0"/>
        <w:widowControl w:val="0"/>
        <w:numPr>
          <w:ilvl w:val="0"/>
          <w:numId w:val="5"/>
        </w:numPr>
        <w:shd w:val="clear" w:color="auto" w:fill="auto"/>
        <w:tabs>
          <w:tab w:pos="973" w:val="left"/>
        </w:tabs>
        <w:bidi w:val="0"/>
        <w:spacing w:before="0" w:line="240" w:lineRule="auto"/>
        <w:ind w:left="0" w:right="0" w:firstLine="620"/>
        <w:jc w:val="both"/>
      </w:pPr>
      <w:bookmarkStart w:id="6" w:name="bookmark6"/>
      <w:bookmarkEnd w:id="6"/>
      <w:r>
        <w:rPr>
          <w:color w:val="000000"/>
          <w:spacing w:val="0"/>
          <w:w w:val="100"/>
          <w:position w:val="0"/>
        </w:rPr>
        <w:t>Thu nhập từ hoạt động tìm kiếm, thăm dò, khai thác dầu, khí, tài nguyên quý hiếm khác và thu nhập từ hoạt động khai thác khoáng sản.</w:t>
      </w:r>
    </w:p>
    <w:p>
      <w:pPr>
        <w:pStyle w:val="Style7"/>
        <w:keepNext w:val="0"/>
        <w:keepLines w:val="0"/>
        <w:widowControl w:val="0"/>
        <w:numPr>
          <w:ilvl w:val="0"/>
          <w:numId w:val="5"/>
        </w:numPr>
        <w:shd w:val="clear" w:color="auto" w:fill="auto"/>
        <w:tabs>
          <w:tab w:pos="973" w:val="left"/>
        </w:tabs>
        <w:bidi w:val="0"/>
        <w:spacing w:before="0" w:after="520" w:line="240" w:lineRule="auto"/>
        <w:ind w:left="0" w:right="0" w:firstLine="620"/>
        <w:jc w:val="both"/>
      </w:pPr>
      <w:bookmarkStart w:id="7" w:name="bookmark7"/>
      <w:bookmarkEnd w:id="7"/>
      <w:r>
        <w:rPr>
          <w:color w:val="000000"/>
          <w:spacing w:val="0"/>
          <w:w w:val="100"/>
          <w:position w:val="0"/>
        </w:rPr>
        <w:t>Thu nhập từ kinh doanh dịch vụ thuộc diện chịu thuế tiêu thụ đặc biệt theo quy định của Luật Thuế tiêu thụ đặc biệt.”</w:t>
      </w:r>
    </w:p>
    <w:p>
      <w:pPr>
        <w:pStyle w:val="Style21"/>
        <w:keepNext/>
        <w:keepLines/>
        <w:widowControl w:val="0"/>
        <w:shd w:val="clear" w:color="auto" w:fill="auto"/>
        <w:bidi w:val="0"/>
        <w:spacing w:before="0" w:line="240" w:lineRule="auto"/>
        <w:ind w:left="0" w:right="0"/>
        <w:jc w:val="both"/>
      </w:pPr>
      <w:bookmarkStart w:id="10" w:name="bookmark10"/>
      <w:bookmarkStart w:id="8" w:name="bookmark8"/>
      <w:bookmarkStart w:id="9" w:name="bookmark9"/>
      <w:r>
        <w:rPr>
          <w:color w:val="000000"/>
          <w:spacing w:val="0"/>
          <w:w w:val="100"/>
          <w:position w:val="0"/>
        </w:rPr>
        <w:t>3. Sửa đổi,, bổ sung Khoản 5 Điều 18, Thông tư số 78/2014/TT-BTC (đã được sửa đổi, bổ sung tại Điều 5 Thông tư số 151/2014/TT-BTC) như sau:</w:t>
      </w:r>
      <w:bookmarkEnd w:id="10"/>
      <w:bookmarkEnd w:id="8"/>
      <w:bookmarkEnd w:id="9"/>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rPr>
        <w:t>“5. Về dự án đầu tư mới:</w:t>
      </w:r>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rPr>
        <w:t>a) Dự án đầu tư mới được hưởng ưu đãi thuế thu nhập doanh nghiệp quy định tại Điều 15, Điều 16 Nghị định số 218/2013/NĐ-CP là:</w:t>
      </w:r>
    </w:p>
    <w:p>
      <w:pPr>
        <w:pStyle w:val="Style7"/>
        <w:keepNext w:val="0"/>
        <w:keepLines w:val="0"/>
        <w:widowControl w:val="0"/>
        <w:numPr>
          <w:ilvl w:val="0"/>
          <w:numId w:val="7"/>
        </w:numPr>
        <w:shd w:val="clear" w:color="auto" w:fill="auto"/>
        <w:tabs>
          <w:tab w:pos="877" w:val="left"/>
        </w:tabs>
        <w:bidi w:val="0"/>
        <w:spacing w:before="0" w:after="520" w:line="240" w:lineRule="auto"/>
        <w:ind w:left="0" w:right="0" w:firstLine="620"/>
        <w:jc w:val="both"/>
      </w:pPr>
      <w:bookmarkStart w:id="11" w:name="bookmark11"/>
      <w:bookmarkEnd w:id="11"/>
      <w:r>
        <w:rPr>
          <w:color w:val="000000"/>
          <w:spacing w:val="0"/>
          <w:w w:val="100"/>
          <w:position w:val="0"/>
        </w:rPr>
        <w:t>Dự án được cấp Giấy chứng nhận đầu tư lần đầu từ ngày 01/01/2014 và phát sinh doanh thu của dự án đó sau khi được cấp Giấy chứng nhận đầu tư.</w:t>
      </w:r>
    </w:p>
    <w:p>
      <w:pPr>
        <w:pStyle w:val="Style7"/>
        <w:keepNext w:val="0"/>
        <w:keepLines w:val="0"/>
        <w:widowControl w:val="0"/>
        <w:numPr>
          <w:ilvl w:val="0"/>
          <w:numId w:val="7"/>
        </w:numPr>
        <w:shd w:val="clear" w:color="auto" w:fill="auto"/>
        <w:tabs>
          <w:tab w:pos="272" w:val="left"/>
        </w:tabs>
        <w:bidi w:val="0"/>
        <w:spacing w:before="0" w:after="520" w:line="240" w:lineRule="auto"/>
        <w:ind w:left="0" w:right="0" w:firstLine="620"/>
        <w:jc w:val="both"/>
      </w:pPr>
      <w:bookmarkStart w:id="12" w:name="bookmark12"/>
      <w:bookmarkEnd w:id="12"/>
      <w:r>
        <w:rPr>
          <w:color w:val="000000"/>
          <w:spacing w:val="0"/>
          <w:w w:val="100"/>
          <w:position w:val="0"/>
        </w:rPr>
        <w:t xml:space="preserve">Dự án đầu tư độc lập với dự án doanh nghiệp đang hoạt động (kể cả trường </w:t>
      </w:r>
      <w:r>
        <w:rPr>
          <w:color w:val="000000"/>
          <w:spacing w:val="0"/>
          <w:w w:val="100"/>
          <w:position w:val="0"/>
        </w:rPr>
        <w:t>hợp dự án có vốn đầu tư dưới 15 tỷ đồng Việt Nam và không thuộc Danh mục lĩnh vực đầu tư có điều kiện) có Giấy chứng nhận đầu tư từ ngày 01/01/2014 để thực hiện dự án đầu tư độc lập này.</w:t>
      </w:r>
    </w:p>
    <w:p>
      <w:pPr>
        <w:pStyle w:val="Style7"/>
        <w:keepNext w:val="0"/>
        <w:keepLines w:val="0"/>
        <w:widowControl w:val="0"/>
        <w:shd w:val="clear" w:color="auto" w:fill="auto"/>
        <w:bidi w:val="0"/>
        <w:spacing w:before="0" w:after="520" w:line="240" w:lineRule="auto"/>
        <w:ind w:left="0" w:right="0" w:firstLine="620"/>
        <w:jc w:val="both"/>
      </w:pPr>
      <w:r>
        <w:rPr>
          <w:color w:val="000000"/>
          <w:spacing w:val="0"/>
          <w:w w:val="100"/>
          <w:position w:val="0"/>
        </w:rPr>
        <w:t>Dự án đầu tư mới được hưởng ưu đãi thuế thu nhập doanh nghiệp theo quy định phải được cơ quan Nhà nước có thẩm quyền cấp Giấy phép đầu tư hoặc Giấy chứng nhận đầu tư hoặc được phép đầu tư theo quy định của pháp luật về đầu tư.</w:t>
      </w:r>
    </w:p>
    <w:p>
      <w:pPr>
        <w:pStyle w:val="Style7"/>
        <w:keepNext w:val="0"/>
        <w:keepLines w:val="0"/>
        <w:widowControl w:val="0"/>
        <w:shd w:val="clear" w:color="auto" w:fill="auto"/>
        <w:bidi w:val="0"/>
        <w:spacing w:before="0" w:line="240" w:lineRule="auto"/>
        <w:ind w:left="0" w:right="0" w:firstLine="620"/>
        <w:jc w:val="both"/>
      </w:pPr>
      <w:r>
        <w:rPr>
          <w:i w:val="0"/>
          <w:iCs w:val="0"/>
          <w:color w:val="000000"/>
          <w:spacing w:val="0"/>
          <w:w w:val="100"/>
          <w:position w:val="0"/>
        </w:rPr>
        <w:t>Tại khoản 2 Điều 12 quy định:</w:t>
      </w:r>
    </w:p>
    <w:p>
      <w:pPr>
        <w:pStyle w:val="Style7"/>
        <w:keepNext w:val="0"/>
        <w:keepLines w:val="0"/>
        <w:widowControl w:val="0"/>
        <w:shd w:val="clear" w:color="auto" w:fill="auto"/>
        <w:bidi w:val="0"/>
        <w:spacing w:before="0" w:after="520" w:line="240" w:lineRule="auto"/>
        <w:ind w:left="0" w:right="0" w:firstLine="620"/>
        <w:jc w:val="both"/>
      </w:pPr>
      <w:r>
        <w:rPr>
          <w:color w:val="000000"/>
          <w:spacing w:val="0"/>
          <w:w w:val="100"/>
          <w:position w:val="0"/>
        </w:rPr>
        <w:t>“</w:t>
      </w:r>
      <w:r>
        <w:rPr>
          <w:b/>
          <w:bCs/>
          <w:color w:val="000000"/>
          <w:spacing w:val="0"/>
          <w:w w:val="100"/>
          <w:position w:val="0"/>
        </w:rPr>
        <w:t>Điều 12. Sửa đổi, bổ sung một sổ nội dung tại Điều 20 Thông tư số 78/2014/TT-BTC như sau:</w:t>
      </w:r>
    </w:p>
    <w:p>
      <w:pPr>
        <w:pStyle w:val="Style21"/>
        <w:keepNext/>
        <w:keepLines/>
        <w:widowControl w:val="0"/>
        <w:numPr>
          <w:ilvl w:val="0"/>
          <w:numId w:val="3"/>
        </w:numPr>
        <w:shd w:val="clear" w:color="auto" w:fill="auto"/>
        <w:tabs>
          <w:tab w:pos="976" w:val="left"/>
        </w:tabs>
        <w:bidi w:val="0"/>
        <w:spacing w:before="0" w:line="240" w:lineRule="auto"/>
        <w:ind w:left="0" w:right="0"/>
        <w:jc w:val="both"/>
      </w:pPr>
      <w:bookmarkStart w:id="13" w:name="bookmark13"/>
      <w:bookmarkStart w:id="14" w:name="bookmark14"/>
      <w:bookmarkStart w:id="15" w:name="bookmark15"/>
      <w:bookmarkStart w:id="16" w:name="bookmark16"/>
      <w:bookmarkEnd w:id="15"/>
      <w:r>
        <w:rPr>
          <w:color w:val="000000"/>
          <w:spacing w:val="0"/>
          <w:w w:val="100"/>
          <w:position w:val="0"/>
        </w:rPr>
        <w:t>Sửa đổi, bổ sung Khoản 4 Điều 20 Thông tư số 78/2014/TT-BTC như sau:</w:t>
      </w:r>
      <w:bookmarkEnd w:id="13"/>
      <w:bookmarkEnd w:id="14"/>
      <w:bookmarkEnd w:id="16"/>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rPr>
        <w:t>“</w:t>
      </w:r>
      <w:r>
        <w:rPr>
          <w:b/>
          <w:bCs/>
          <w:color w:val="000000"/>
          <w:spacing w:val="0"/>
          <w:w w:val="100"/>
          <w:position w:val="0"/>
        </w:rPr>
        <w:t>4</w:t>
      </w:r>
      <w:r>
        <w:rPr>
          <w:color w:val="000000"/>
          <w:spacing w:val="0"/>
          <w:w w:val="100"/>
          <w:position w:val="0"/>
        </w:rPr>
        <w:t>. Thời gian miễn thuế, giảm thuế quy định tại Điều này được tính liên tục từ năm đầu tiên doanh nghiệp có thu nhập chịu thuế từ dự án đầu tư mới được hưởng ưu đãi thuế. Trường hợp doanh nghiệp không có thu nhập chịu thuế trong ba năm đầu, kể từ năm đầu tiên có doanh thu từ dự án đầu tư mới thì thời gian miễn thuế, giảm thuế được tính từ năm thứ tư dự án đầu tư mới phát sinh doanh thu.</w:t>
      </w:r>
    </w:p>
    <w:p>
      <w:pPr>
        <w:pStyle w:val="Style7"/>
        <w:keepNext w:val="0"/>
        <w:keepLines w:val="0"/>
        <w:widowControl w:val="0"/>
        <w:shd w:val="clear" w:color="auto" w:fill="auto"/>
        <w:bidi w:val="0"/>
        <w:spacing w:before="0" w:after="520" w:line="240" w:lineRule="auto"/>
        <w:ind w:left="0" w:right="0" w:firstLine="620"/>
        <w:jc w:val="both"/>
      </w:pPr>
      <w:r>
        <w:rPr>
          <w:color w:val="000000"/>
          <w:spacing w:val="0"/>
          <w:w w:val="100"/>
          <w:position w:val="0"/>
        </w:rPr>
        <w:t>Ví dụ 20: Năm 2014, doanh nghiệp A có dự án đầu tư mới sản xuất sản phẩm phần mềm, nếu năm 2014 doanh nghiệp A đã có thu nhập chịu thuế từ dự án sản xuất sản phẩm phần mềm thì thời gian miễn giảm thuế được tính liên tục kể từ năm 2014. Trường hợp dự án đầu tư mới sản xuất sản phẩm phần mềm của doanh nghiệp A phát sinh doanh thu từ năm 2014, đến năm 2016 dự án đầu tư mới của doanh nghiệp A vẫn chưa có thu nhập chịu thuế thì thời gian miễn giảm thuế được tính liên tục kể từ năm 2017.</w:t>
      </w:r>
    </w:p>
    <w:p>
      <w:pPr>
        <w:pStyle w:val="Style7"/>
        <w:keepNext w:val="0"/>
        <w:keepLines w:val="0"/>
        <w:widowControl w:val="0"/>
        <w:shd w:val="clear" w:color="auto" w:fill="auto"/>
        <w:bidi w:val="0"/>
        <w:spacing w:before="0" w:line="240" w:lineRule="auto"/>
        <w:ind w:left="0" w:right="0" w:firstLine="620"/>
        <w:jc w:val="both"/>
      </w:pPr>
      <w:r>
        <w:rPr>
          <w:i w:val="0"/>
          <w:iCs w:val="0"/>
          <w:color w:val="000000"/>
          <w:spacing w:val="0"/>
          <w:w w:val="100"/>
          <w:position w:val="0"/>
        </w:rPr>
        <w:t xml:space="preserve">Theo Điều 22 Thông tư số </w:t>
      </w:r>
      <w:r>
        <w:rPr>
          <w:i w:val="0"/>
          <w:iCs w:val="0"/>
          <w:color w:val="000000"/>
          <w:spacing w:val="0"/>
          <w:w w:val="100"/>
          <w:position w:val="0"/>
        </w:rPr>
        <w:t xml:space="preserve">78/2014/TT-BTC </w:t>
      </w:r>
      <w:r>
        <w:rPr>
          <w:i w:val="0"/>
          <w:iCs w:val="0"/>
          <w:color w:val="000000"/>
          <w:spacing w:val="0"/>
          <w:w w:val="100"/>
          <w:position w:val="0"/>
        </w:rPr>
        <w:t>ngày 18/6/2014 của Bộ Tài chính hướng dẫn thi hành Nghị định số 218/2013/NĐ-CP ngày 26/12/2013 của Chính phủ quy định và hướng dẫn thi hành Luật Thuế thu nhập doanh nghiệp quy định:</w:t>
      </w:r>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rPr>
        <w:t>“</w:t>
      </w:r>
      <w:r>
        <w:rPr>
          <w:b/>
          <w:bCs/>
          <w:color w:val="000000"/>
          <w:spacing w:val="0"/>
          <w:w w:val="100"/>
          <w:position w:val="0"/>
        </w:rPr>
        <w:t>Điều 22. Thủ tục thực hiện ưu đãi thuế thu nhập doanh nghiệp</w:t>
      </w:r>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rPr>
        <w:t>Doanh nghiệp tự xác định các điều kiện ưu đãi thuế, mức thuế suất ưu đãi, thời gian miễn thuế, giảm thuế, số lỗ được trừ (-) vào thu nhập tính thuế để tự kê khai và tự quyết toán thuế với cơ quan thuế.</w:t>
      </w:r>
    </w:p>
    <w:p>
      <w:pPr>
        <w:pStyle w:val="Style7"/>
        <w:keepNext w:val="0"/>
        <w:keepLines w:val="0"/>
        <w:widowControl w:val="0"/>
        <w:shd w:val="clear" w:color="auto" w:fill="auto"/>
        <w:bidi w:val="0"/>
        <w:spacing w:before="0" w:line="240" w:lineRule="auto"/>
        <w:ind w:left="0" w:right="0" w:firstLine="620"/>
        <w:jc w:val="both"/>
      </w:pPr>
      <w:r>
        <w:rPr>
          <w:color w:val="000000"/>
          <w:spacing w:val="0"/>
          <w:w w:val="100"/>
          <w:position w:val="0"/>
        </w:rPr>
        <w:t>Cơ quan thuế khi kiểm tra, thanh tra đối với doanh nghiệp phải kiểm tra các điều kiện được hưởng ưu đãi thuế, số thuế thu nhập doanh nghiệp được miễn thuế, giảm thuế, số lỗ được trừ vào thu nhập chịu thuế theo đúng điều kiện thực tế mà doanh nghiệp đáp ứng được. Trường hợp doanh nghiệp không đảm bảo các điều kiện để áp dụng thuế suất ưu đãi và thời gian miễn thuế, giảm thuế thì cơ quan</w:t>
        <w:br w:type="page"/>
      </w:r>
      <w:r>
        <w:rPr>
          <w:color w:val="000000"/>
          <w:spacing w:val="0"/>
          <w:w w:val="100"/>
          <w:position w:val="0"/>
        </w:rPr>
        <w:t>thuế xử lý truy thu thuế và xử phạt vi phạm hành chính về thuế theo quy định”.</w:t>
      </w:r>
    </w:p>
    <w:p>
      <w:pPr>
        <w:pStyle w:val="Style7"/>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(Danh mục Địa bàn ưu đãi đầu tư hiện nay được quy định tại Phụ lục III ban hành kèm theo Nghị định số 31/2021/NĐ-CP ngày 26/3/2021 của Chính phủ quy định chi tiết và hướng dẫn thi hành một số điều của Luật Đầu tư).</w:t>
      </w:r>
    </w:p>
    <w:p>
      <w:pPr>
        <w:pStyle w:val="Style7"/>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Căn cứ quy định trên và trình bày tại văn bản hỏi, Cục Thuế tỉnh Hòa Bình trả lời theo nguyên tắc:</w:t>
      </w:r>
    </w:p>
    <w:p>
      <w:pPr>
        <w:pStyle w:val="Style7"/>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Công ty tự xác định các điều kiện ưu đãi thuế, mức thuế suất ưu đãi, thời gian miễn thuế, giảm thuế để tự kê khai và tự quyết toán thuế với cơ quan thuế.</w:t>
      </w:r>
    </w:p>
    <w:p>
      <w:pPr>
        <w:pStyle w:val="Style7"/>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Trường hợp dự án đầu tư Công ty đang thực hiện đáp ứng điều kiện là dự án đầu tư mới (theo hướng dẫn tại khoản 3 Điều 10 Thông tư số 96/2015/TT-BTC đã trích dẫn nêu trên) tại địa bàn có điều kiện kinh tế - xã hội khó khăn theo quy định của pháp luật thì thu nhập của Công ty từ thực hiện dự án đầu tư mới này được hưởng ưu đãi về thuế suất và thời gian miễn, giảm thuế theo quy định đã trích dẫn nêu trên (thuế suất ưu đãi 17% trong thời gian 10 năm, đồng thời được miễn thuế 2 năm và giảm 50% số thuế phải nộp trong 4 năm tiếp theo; không áp dụng ưu đãi thuế TNDN đối với các khoản thu nhập quy định tại khoản 1 Điều 10 Thông tư số 96/2015/TT-BTC đã trích dẫn nêu trên).</w:t>
      </w:r>
    </w:p>
    <w:p>
      <w:pPr>
        <w:pStyle w:val="Style7"/>
        <w:keepNext w:val="0"/>
        <w:keepLines w:val="0"/>
        <w:widowControl w:val="0"/>
        <w:shd w:val="clear" w:color="auto" w:fill="auto"/>
        <w:bidi w:val="0"/>
        <w:spacing w:before="0" w:after="340" w:line="240" w:lineRule="auto"/>
        <w:ind w:left="0" w:right="0" w:firstLine="600"/>
        <w:jc w:val="both"/>
      </w:pPr>
      <w:r>
        <w:rPr>
          <w:i w:val="0"/>
          <w:iCs w:val="0"/>
          <w:color w:val="000000"/>
          <w:spacing w:val="0"/>
          <w:w w:val="100"/>
          <w:position w:val="0"/>
        </w:rPr>
        <w:t>Cục Thuế tỉnh Hòa Bình trả lời để Công ty biết và thực hiện././</w:t>
      </w:r>
    </w:p>
    <w:p>
      <w:pPr>
        <w:pStyle w:val="Style24"/>
        <w:keepNext w:val="0"/>
        <w:keepLines w:val="0"/>
        <w:widowControl w:val="0"/>
        <w:shd w:val="clear" w:color="auto" w:fill="auto"/>
        <w:bidi w:val="0"/>
        <w:spacing w:before="0" w:after="0" w:line="240" w:lineRule="auto"/>
        <w:ind w:left="0" w:right="0" w:firstLine="0"/>
        <w:jc w:val="left"/>
        <w:rPr>
          <w:sz w:val="24"/>
          <w:szCs w:val="24"/>
        </w:rPr>
      </w:pPr>
      <w:r>
        <w:drawing>
          <wp:anchor distT="247015" distB="236855" distL="114300" distR="830580" simplePos="0" relativeHeight="125829378" behindDoc="0" locked="0" layoutInCell="1" allowOverlap="1">
            <wp:simplePos x="0" y="0"/>
            <wp:positionH relativeFrom="page">
              <wp:posOffset>4003040</wp:posOffset>
            </wp:positionH>
            <wp:positionV relativeFrom="paragraph">
              <wp:posOffset>259715</wp:posOffset>
            </wp:positionV>
            <wp:extent cx="1670050" cy="131064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670050" cy="131064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4539615</wp:posOffset>
                </wp:positionH>
                <wp:positionV relativeFrom="paragraph">
                  <wp:posOffset>1546225</wp:posOffset>
                </wp:positionV>
                <wp:extent cx="1847215" cy="259080"/>
                <wp:wrapNone/>
                <wp:docPr id="3" name="Shape 3"/>
                <a:graphic xmlns:a="http://schemas.openxmlformats.org/drawingml/2006/main">
                  <a:graphicData uri="http://schemas.microsoft.com/office/word/2010/wordprocessingShape">
                    <wps:wsp>
                      <wps:cNvSpPr txBox="1"/>
                      <wps:spPr>
                        <a:xfrm>
                          <a:ext cx="1847215" cy="2590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Nguyễn Thị Hương Nga</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57.44999999999999pt;margin-top:121.75pt;width:145.45000000000002pt;height:20.400000000000002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Nguyễn Thị Hương Nga</w:t>
                      </w:r>
                    </w:p>
                  </w:txbxContent>
                </v:textbox>
                <w10:wrap anchorx="page"/>
              </v:shape>
            </w:pict>
          </mc:Fallback>
        </mc:AlternateContent>
      </w:r>
      <w:r>
        <w:drawing>
          <wp:anchor distT="688975" distB="259080" distL="144780" distR="132715" simplePos="0" relativeHeight="125829379" behindDoc="0" locked="0" layoutInCell="1" allowOverlap="1">
            <wp:simplePos x="0" y="0"/>
            <wp:positionH relativeFrom="page">
              <wp:posOffset>4033520</wp:posOffset>
            </wp:positionH>
            <wp:positionV relativeFrom="paragraph">
              <wp:posOffset>701675</wp:posOffset>
            </wp:positionV>
            <wp:extent cx="2334895" cy="847090"/>
            <wp:wrapSquare wrapText="lef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2334895" cy="84709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4722495</wp:posOffset>
                </wp:positionH>
                <wp:positionV relativeFrom="paragraph">
                  <wp:posOffset>12700</wp:posOffset>
                </wp:positionV>
                <wp:extent cx="1524000" cy="435610"/>
                <wp:wrapNone/>
                <wp:docPr id="7" name="Shape 7"/>
                <a:graphic xmlns:a="http://schemas.openxmlformats.org/drawingml/2006/main">
                  <a:graphicData uri="http://schemas.microsoft.com/office/word/2010/wordprocessingShape">
                    <wps:wsp>
                      <wps:cNvSpPr txBox="1"/>
                      <wps:spPr>
                        <a:xfrm>
                          <a:ext cx="1524000" cy="4356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KT. CỤC TRƯỞNG rRÓ CỤC TRƯỞNG</w:t>
                            </w:r>
                          </w:p>
                          <w:p>
                            <w:pPr>
                              <w:pStyle w:val="Style2"/>
                              <w:keepNext w:val="0"/>
                              <w:keepLines w:val="0"/>
                              <w:widowControl w:val="0"/>
                              <w:shd w:val="clear" w:color="auto" w:fill="auto"/>
                              <w:bidi w:val="0"/>
                              <w:spacing w:before="0" w:after="0" w:line="211" w:lineRule="auto"/>
                              <w:ind w:left="0" w:right="0" w:firstLine="140"/>
                              <w:jc w:val="left"/>
                              <w:rPr>
                                <w:sz w:val="13"/>
                                <w:szCs w:val="13"/>
                              </w:rPr>
                            </w:pPr>
                            <w:r>
                              <w:rPr>
                                <w:rFonts w:ascii="Arial" w:eastAsia="Arial" w:hAnsi="Arial" w:cs="Arial"/>
                                <w:b w:val="0"/>
                                <w:bCs w:val="0"/>
                                <w:i/>
                                <w:iCs/>
                                <w:color w:val="F80606"/>
                                <w:spacing w:val="0"/>
                                <w:w w:val="100"/>
                                <w:position w:val="0"/>
                                <w:sz w:val="8"/>
                                <w:szCs w:val="8"/>
                              </w:rPr>
                              <w:t>• A/</w:t>
                            </w:r>
                            <w:r>
                              <w:rPr>
                                <w:b w:val="0"/>
                                <w:bCs w:val="0"/>
                                <w:color w:val="F80606"/>
                                <w:spacing w:val="0"/>
                                <w:w w:val="100"/>
                                <w:position w:val="0"/>
                                <w:sz w:val="13"/>
                                <w:szCs w:val="13"/>
                              </w:rPr>
                              <w:t xml:space="preserve"> Ns. •</w:t>
                            </w:r>
                          </w:p>
                        </w:txbxContent>
                      </wps:txbx>
                      <wps:bodyPr lIns="0" tIns="0" rIns="0" bIns="0">
                        <a:noAutoFit/>
                      </wps:bodyPr>
                    </wps:wsp>
                  </a:graphicData>
                </a:graphic>
              </wp:anchor>
            </w:drawing>
          </mc:Choice>
          <mc:Fallback>
            <w:pict>
              <v:shape id="_x0000_s1033" type="#_x0000_t202" style="position:absolute;margin-left:371.85000000000002pt;margin-top:1.pt;width:120.pt;height:34.300000000000004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KT. CỤC TRƯỞNG rRÓ CỤC TRƯỞNG</w:t>
                      </w:r>
                    </w:p>
                    <w:p>
                      <w:pPr>
                        <w:pStyle w:val="Style2"/>
                        <w:keepNext w:val="0"/>
                        <w:keepLines w:val="0"/>
                        <w:widowControl w:val="0"/>
                        <w:shd w:val="clear" w:color="auto" w:fill="auto"/>
                        <w:bidi w:val="0"/>
                        <w:spacing w:before="0" w:after="0" w:line="211" w:lineRule="auto"/>
                        <w:ind w:left="0" w:right="0" w:firstLine="140"/>
                        <w:jc w:val="left"/>
                        <w:rPr>
                          <w:sz w:val="13"/>
                          <w:szCs w:val="13"/>
                        </w:rPr>
                      </w:pPr>
                      <w:r>
                        <w:rPr>
                          <w:rFonts w:ascii="Arial" w:eastAsia="Arial" w:hAnsi="Arial" w:cs="Arial"/>
                          <w:b w:val="0"/>
                          <w:bCs w:val="0"/>
                          <w:i/>
                          <w:iCs/>
                          <w:color w:val="F80606"/>
                          <w:spacing w:val="0"/>
                          <w:w w:val="100"/>
                          <w:position w:val="0"/>
                          <w:sz w:val="8"/>
                          <w:szCs w:val="8"/>
                        </w:rPr>
                        <w:t>• A/</w:t>
                      </w:r>
                      <w:r>
                        <w:rPr>
                          <w:b w:val="0"/>
                          <w:bCs w:val="0"/>
                          <w:color w:val="F80606"/>
                          <w:spacing w:val="0"/>
                          <w:w w:val="100"/>
                          <w:position w:val="0"/>
                          <w:sz w:val="13"/>
                          <w:szCs w:val="13"/>
                        </w:rPr>
                        <w:t xml:space="preserve"> Ns. •</w:t>
                      </w:r>
                    </w:p>
                  </w:txbxContent>
                </v:textbox>
                <w10:wrap anchorx="page"/>
              </v:shape>
            </w:pict>
          </mc:Fallback>
        </mc:AlternateContent>
      </w:r>
      <w:r>
        <w:rPr>
          <w:b/>
          <w:bCs/>
          <w:i/>
          <w:iCs/>
          <w:color w:val="000000"/>
          <w:spacing w:val="0"/>
          <w:w w:val="100"/>
          <w:position w:val="0"/>
          <w:sz w:val="24"/>
          <w:szCs w:val="24"/>
        </w:rPr>
        <w:t>Nơi nhận:</w:t>
      </w:r>
    </w:p>
    <w:p>
      <w:pPr>
        <w:pStyle w:val="Style24"/>
        <w:keepNext w:val="0"/>
        <w:keepLines w:val="0"/>
        <w:widowControl w:val="0"/>
        <w:numPr>
          <w:ilvl w:val="0"/>
          <w:numId w:val="7"/>
        </w:numPr>
        <w:shd w:val="clear" w:color="auto" w:fill="auto"/>
        <w:tabs>
          <w:tab w:pos="262" w:val="left"/>
        </w:tabs>
        <w:bidi w:val="0"/>
        <w:spacing w:before="0" w:after="0" w:line="240" w:lineRule="auto"/>
        <w:ind w:left="0" w:right="0" w:firstLine="0"/>
        <w:jc w:val="left"/>
      </w:pPr>
      <w:bookmarkStart w:id="17" w:name="bookmark17"/>
      <w:bookmarkEnd w:id="17"/>
      <w:r>
        <w:rPr>
          <w:color w:val="000000"/>
          <w:spacing w:val="0"/>
          <w:w w:val="100"/>
          <w:position w:val="0"/>
        </w:rPr>
        <w:t>Như trên;</w:t>
      </w:r>
    </w:p>
    <w:p>
      <w:pPr>
        <w:pStyle w:val="Style24"/>
        <w:keepNext w:val="0"/>
        <w:keepLines w:val="0"/>
        <w:widowControl w:val="0"/>
        <w:numPr>
          <w:ilvl w:val="0"/>
          <w:numId w:val="7"/>
        </w:numPr>
        <w:shd w:val="clear" w:color="auto" w:fill="auto"/>
        <w:tabs>
          <w:tab w:pos="262" w:val="left"/>
        </w:tabs>
        <w:bidi w:val="0"/>
        <w:spacing w:before="0" w:after="0" w:line="240" w:lineRule="auto"/>
        <w:ind w:left="0" w:right="0" w:firstLine="0"/>
        <w:jc w:val="left"/>
      </w:pPr>
      <w:bookmarkStart w:id="18" w:name="bookmark18"/>
      <w:bookmarkEnd w:id="18"/>
      <w:r>
        <w:rPr>
          <w:color w:val="000000"/>
          <w:spacing w:val="0"/>
          <w:w w:val="100"/>
          <w:position w:val="0"/>
        </w:rPr>
        <w:t>Chi cục Thuế các huyện, khu vực;</w:t>
      </w:r>
    </w:p>
    <w:p>
      <w:pPr>
        <w:pStyle w:val="Style24"/>
        <w:keepNext w:val="0"/>
        <w:keepLines w:val="0"/>
        <w:widowControl w:val="0"/>
        <w:numPr>
          <w:ilvl w:val="0"/>
          <w:numId w:val="7"/>
        </w:numPr>
        <w:shd w:val="clear" w:color="auto" w:fill="auto"/>
        <w:tabs>
          <w:tab w:pos="262" w:val="left"/>
        </w:tabs>
        <w:bidi w:val="0"/>
        <w:spacing w:before="0" w:after="0" w:line="240" w:lineRule="auto"/>
        <w:ind w:left="0" w:right="0" w:firstLine="0"/>
        <w:jc w:val="left"/>
      </w:pPr>
      <w:bookmarkStart w:id="19" w:name="bookmark19"/>
      <w:bookmarkEnd w:id="19"/>
      <w:r>
        <w:rPr>
          <w:color w:val="000000"/>
          <w:spacing w:val="0"/>
          <w:w w:val="100"/>
          <w:position w:val="0"/>
        </w:rPr>
        <w:t xml:space="preserve">Các phòng </w:t>
      </w:r>
      <w:r>
        <w:rPr>
          <w:smallCaps/>
          <w:color w:val="000000"/>
          <w:spacing w:val="0"/>
          <w:w w:val="100"/>
          <w:position w:val="0"/>
        </w:rPr>
        <w:t>NVDTpC,</w:t>
      </w:r>
      <w:r>
        <w:rPr>
          <w:color w:val="000000"/>
          <w:spacing w:val="0"/>
          <w:w w:val="100"/>
          <w:position w:val="0"/>
        </w:rPr>
        <w:t xml:space="preserve"> ' TTKT1, KTNB;</w:t>
      </w:r>
    </w:p>
    <w:p>
      <w:pPr>
        <w:pStyle w:val="Style24"/>
        <w:keepNext w:val="0"/>
        <w:keepLines w:val="0"/>
        <w:widowControl w:val="0"/>
        <w:numPr>
          <w:ilvl w:val="0"/>
          <w:numId w:val="7"/>
        </w:numPr>
        <w:shd w:val="clear" w:color="auto" w:fill="auto"/>
        <w:tabs>
          <w:tab w:pos="262" w:val="left"/>
        </w:tabs>
        <w:bidi w:val="0"/>
        <w:spacing w:before="0" w:after="0" w:line="240" w:lineRule="auto"/>
        <w:ind w:left="0" w:right="0" w:firstLine="0"/>
        <w:jc w:val="left"/>
      </w:pPr>
      <w:bookmarkStart w:id="20" w:name="bookmark20"/>
      <w:bookmarkEnd w:id="20"/>
      <w:r>
        <w:rPr>
          <w:color w:val="000000"/>
          <w:spacing w:val="0"/>
          <w:w w:val="100"/>
          <w:position w:val="0"/>
        </w:rPr>
        <w:t>Cục trưởng, các Phó Cục trưởng;</w:t>
      </w:r>
    </w:p>
    <w:p>
      <w:pPr>
        <w:pStyle w:val="Style24"/>
        <w:keepNext w:val="0"/>
        <w:keepLines w:val="0"/>
        <w:widowControl w:val="0"/>
        <w:numPr>
          <w:ilvl w:val="0"/>
          <w:numId w:val="7"/>
        </w:numPr>
        <w:shd w:val="clear" w:color="auto" w:fill="auto"/>
        <w:tabs>
          <w:tab w:pos="262" w:val="left"/>
        </w:tabs>
        <w:bidi w:val="0"/>
        <w:spacing w:before="0" w:after="0" w:line="240" w:lineRule="auto"/>
        <w:ind w:left="0" w:right="0" w:firstLine="0"/>
        <w:jc w:val="left"/>
      </w:pPr>
      <w:bookmarkStart w:id="21" w:name="bookmark21"/>
      <w:bookmarkEnd w:id="21"/>
      <w:r>
        <w:rPr>
          <w:color w:val="000000"/>
          <w:spacing w:val="0"/>
          <w:w w:val="100"/>
          <w:position w:val="0"/>
        </w:rPr>
        <w:t xml:space="preserve">Website </w:t>
      </w:r>
      <w:r>
        <w:rPr>
          <w:color w:val="000000"/>
          <w:spacing w:val="0"/>
          <w:w w:val="100"/>
          <w:position w:val="0"/>
        </w:rPr>
        <w:t>Cục Thuế;</w:t>
      </w:r>
    </w:p>
    <w:p>
      <w:pPr>
        <w:pStyle w:val="Style24"/>
        <w:keepNext w:val="0"/>
        <w:keepLines w:val="0"/>
        <w:widowControl w:val="0"/>
        <w:numPr>
          <w:ilvl w:val="0"/>
          <w:numId w:val="7"/>
        </w:numPr>
        <w:shd w:val="clear" w:color="auto" w:fill="auto"/>
        <w:tabs>
          <w:tab w:pos="262" w:val="left"/>
        </w:tabs>
        <w:bidi w:val="0"/>
        <w:spacing w:before="0" w:after="80" w:line="240" w:lineRule="auto"/>
        <w:ind w:left="0" w:right="0" w:firstLine="0"/>
        <w:jc w:val="left"/>
      </w:pPr>
      <w:bookmarkStart w:id="22" w:name="bookmark22"/>
      <w:bookmarkEnd w:id="22"/>
      <w:r>
        <w:rPr>
          <w:color w:val="000000"/>
          <w:spacing w:val="0"/>
          <w:w w:val="100"/>
          <w:position w:val="0"/>
        </w:rPr>
        <w:t>Lưu VT, TTHT (03b).</w:t>
      </w:r>
    </w:p>
    <w:sectPr>
      <w:headerReference w:type="default" r:id="rId9"/>
      <w:headerReference w:type="first" r:id="rId10"/>
      <w:footnotePr>
        <w:pos w:val="pageBottom"/>
        <w:numFmt w:val="decimal"/>
        <w:numRestart w:val="continuous"/>
      </w:footnotePr>
      <w:pgSz w:w="11900" w:h="16840"/>
      <w:pgMar w:top="1311" w:right="957" w:bottom="1306" w:left="1472"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3903980</wp:posOffset>
              </wp:positionH>
              <wp:positionV relativeFrom="page">
                <wp:posOffset>481965</wp:posOffset>
              </wp:positionV>
              <wp:extent cx="76200" cy="121920"/>
              <wp:wrapNone/>
              <wp:docPr id="9" name="Shape 9"/>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35" type="#_x0000_t202" style="position:absolute;margin-left:307.40000000000003pt;margin-top:37.950000000000003pt;width:6.pt;height:9.5999999999999996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abstractNum>
  <w:abstractNum w:abstractNumId="2">
    <w:multiLevelType w:val="multilevel"/>
    <w:lvl w:ilvl="0">
      <w:start w:val="1"/>
      <w:numFmt w:val="decimal"/>
      <w:lvlText w:val="%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abstractNum>
  <w:abstractNum w:abstractNumId="4">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Chú thích ảnh_"/>
    <w:basedOn w:val="DefaultParagraphFont"/>
    <w:link w:val="Style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8">
    <w:name w:val="Văn bản nội dung_"/>
    <w:basedOn w:val="DefaultParagraphFont"/>
    <w:link w:val="Style7"/>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CharStyle19">
    <w:name w:val="Đầu trang hoặc chân trang (2)_"/>
    <w:basedOn w:val="DefaultParagraphFont"/>
    <w:link w:val="Style1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2">
    <w:name w:val="Tiêu đề #1_"/>
    <w:basedOn w:val="DefaultParagraphFont"/>
    <w:link w:val="Style21"/>
    <w:rPr>
      <w:rFonts w:ascii="Times New Roman" w:eastAsia="Times New Roman" w:hAnsi="Times New Roman" w:cs="Times New Roman"/>
      <w:b/>
      <w:bCs/>
      <w:i/>
      <w:iCs/>
      <w:smallCaps w:val="0"/>
      <w:strike w:val="0"/>
      <w:sz w:val="28"/>
      <w:szCs w:val="28"/>
      <w:u w:val="none"/>
      <w:shd w:val="clear" w:color="auto" w:fill="auto"/>
    </w:rPr>
  </w:style>
  <w:style w:type="character" w:customStyle="1" w:styleId="CharStyle25">
    <w:name w:val="Văn bản nội dung (2)_"/>
    <w:basedOn w:val="DefaultParagraphFont"/>
    <w:link w:val="Style24"/>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2">
    <w:name w:val="Chú thích ảnh"/>
    <w:basedOn w:val="Normal"/>
    <w:link w:val="CharStyle3"/>
    <w:pPr>
      <w:widowControl w:val="0"/>
      <w:shd w:val="clear" w:color="auto" w:fill="auto"/>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7">
    <w:name w:val="Văn bản nội dung"/>
    <w:basedOn w:val="Normal"/>
    <w:link w:val="CharStyle8"/>
    <w:pPr>
      <w:widowControl w:val="0"/>
      <w:shd w:val="clear" w:color="auto" w:fill="auto"/>
      <w:spacing w:after="80"/>
      <w:ind w:firstLine="400"/>
    </w:pPr>
    <w:rPr>
      <w:rFonts w:ascii="Times New Roman" w:eastAsia="Times New Roman" w:hAnsi="Times New Roman" w:cs="Times New Roman"/>
      <w:b w:val="0"/>
      <w:bCs w:val="0"/>
      <w:i/>
      <w:iCs/>
      <w:smallCaps w:val="0"/>
      <w:strike w:val="0"/>
      <w:sz w:val="28"/>
      <w:szCs w:val="28"/>
      <w:u w:val="none"/>
      <w:shd w:val="clear" w:color="auto" w:fill="auto"/>
    </w:rPr>
  </w:style>
  <w:style w:type="paragraph" w:customStyle="1" w:styleId="Style18">
    <w:name w:val="Đầu trang hoặc chân trang (2)"/>
    <w:basedOn w:val="Normal"/>
    <w:link w:val="CharStyle19"/>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1">
    <w:name w:val="Tiêu đề #1"/>
    <w:basedOn w:val="Normal"/>
    <w:link w:val="CharStyle22"/>
    <w:pPr>
      <w:widowControl w:val="0"/>
      <w:shd w:val="clear" w:color="auto" w:fill="auto"/>
      <w:spacing w:after="80"/>
      <w:ind w:firstLine="620"/>
      <w:outlineLvl w:val="0"/>
    </w:pPr>
    <w:rPr>
      <w:rFonts w:ascii="Times New Roman" w:eastAsia="Times New Roman" w:hAnsi="Times New Roman" w:cs="Times New Roman"/>
      <w:b/>
      <w:bCs/>
      <w:i/>
      <w:iCs/>
      <w:smallCaps w:val="0"/>
      <w:strike w:val="0"/>
      <w:sz w:val="28"/>
      <w:szCs w:val="28"/>
      <w:u w:val="none"/>
      <w:shd w:val="clear" w:color="auto" w:fill="auto"/>
    </w:rPr>
  </w:style>
  <w:style w:type="paragraph" w:customStyle="1" w:styleId="Style24">
    <w:name w:val="Văn bản nội dung (2)"/>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Tæng côc thuÕ                     Céng hoµ x• héi chñ nghÜa ViÖt Nam</dc:title>
  <dc:subject/>
  <dc:creator>app</dc:creator>
  <cp:keywords/>
</cp:coreProperties>
</file>